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20b36570b49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711.008(b)(7)(B)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165,000 and that is adjacent to a county that has a population of more than 1.5 million and in which more than 70% of the population lives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397.005(c)(2)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397.006(c)(2)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352.002(y)</w:t>
            </w:r>
          </w:p>
        </w:tc>
        <w:tc>
          <w:p>
            <w:r>
              <w:t>Tax Authorized</w:t>
            </w:r>
          </w:p>
        </w:tc>
        <w:tc>
          <w:p>
            <w:r>
              <w:t>170,000 or more through which the Guadalupe River flows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