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2921933fb4b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