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58316072c41d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352.002(bb)</w:t>
            </w:r>
          </w:p>
        </w:tc>
        <w:tc>
          <w:p>
            <w:r>
              <w:t>Tax Authorized</w:t>
            </w:r>
          </w:p>
        </w:tc>
        <w:tc>
          <w:p>
            <w:r>
              <w:t>Less than 60,000 in which an annual strawberry festival is held in a location that is not the county seat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2700d-19</w:t>
            </w:r>
          </w:p>
        </w:tc>
        <w:tc>
          <w:p>
            <w:r>
              <w:t>Education - Public,County Schools,County superintendent--expenses</w:t>
            </w:r>
          </w:p>
        </w:tc>
        <w:tc>
          <w:p>
            <w:r>
              <w:t>Not less than 21,835 and not more than 21,850;Not less than 50,000 and not more than 50,100;Not less than 48,900 and not more than 49,000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13.2451(b-3)(2)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