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b6012fff2418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352.002(j)</w:t>
            </w:r>
          </w:p>
        </w:tc>
        <w:tc>
          <w:p>
            <w:r>
              <w:t>Tax Authorized</w:t>
            </w:r>
          </w:p>
        </w:tc>
        <w:tc>
          <w:p>
            <w:r>
              <w:t>Less than 8,000 that bordered the Pecos River, and that borders another county with 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</w:t>
            </w:r>
          </w:p>
        </w:tc>
        <w:tc>
          <w:p>
            <w:r>
              <w:t>Education - Public,County Schools,Superintendent's salary in counties having a population of 4,660 and not more than 4,700</w:t>
            </w:r>
          </w:p>
        </w:tc>
        <w:tc>
          <w:p>
            <w:r>
              <w:t>Not less than 4,660 nor more than 4,700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