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6b735aeae4a2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341.0358(g)(2)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155,000 and less than 180,000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352.002(y)</w:t>
            </w:r>
          </w:p>
        </w:tc>
        <w:tc>
          <w:p>
            <w:r>
              <w:t>Tax Authorized</w:t>
            </w:r>
          </w:p>
        </w:tc>
        <w:tc>
          <w:p>
            <w:r>
              <w:t>110,000 or more through which the Guadalupe River flows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13.2451(b-3)(1)</w:t>
            </w:r>
          </w:p>
        </w:tc>
        <w:tc>
          <w:p>
            <w:r>
              <w:t>Extension Beyond Extraterritorial Jurisdiction</w:t>
            </w:r>
          </w:p>
        </w:tc>
        <w:tc>
          <w:p>
            <w:r>
              <w:t>130,000 or more that is adjacent to a county with 1.5 million or more that is within 200 miles of an international border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