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238539ad44d7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240.909(a)</w:t>
            </w:r>
          </w:p>
        </w:tc>
        <w:tc>
          <w:p>
            <w:r>
              <w:t>Regulation of Tree Cutting in Certain Counties</w:t>
            </w:r>
          </w:p>
        </w:tc>
        <w:tc>
          <w:p>
            <w:r>
              <w:t>50,000 or less that borders the Gulf of Mexico and in which is located at least one state park and one national wildlife refuge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334.0083(b)</w:t>
            </w:r>
          </w:p>
        </w:tc>
        <w:tc>
          <w:p>
            <w:r>
              <w:t>Venue Projects in Certain Counties</w:t>
            </w:r>
          </w:p>
        </w:tc>
        <w:tc>
          <w:p>
            <w:r>
              <w:t>40,000 or less in which at least one state park and one national wildlife refuge are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352.002(r)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through which the Aransas River flows and that has a municipality with a population of more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