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afd02aeeb44c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352.002(a)(17)</w:t>
            </w:r>
          </w:p>
        </w:tc>
        <w:tc>
          <w:p>
            <w:r>
              <w:t>Tax Authorized</w:t>
            </w:r>
          </w:p>
        </w:tc>
        <w:tc>
          <w:p>
            <w:r>
              <w:t>34,000 or more and borders Lake Buchanan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352.002(p)</w:t>
            </w:r>
          </w:p>
        </w:tc>
        <w:tc>
          <w:p>
            <w:r>
              <w:t>Tax Authorized</w:t>
            </w:r>
          </w:p>
        </w:tc>
        <w:tc>
          <w:p>
            <w:r>
              <w:t>80,000 or less, in which two state parks are located, and through which the Colorado River flows but that is not bordered by that river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644.101(c)(6)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More than 40,000 and less than 300,000 that is adjacent to a county described by subdivision (4)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