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540d7c1ce472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152.071(a-1)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7,500, is located on an international boundary, and contains no incorporated territory of a municipality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152.072(a-1)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7,500, is located on an international boundary, and contains no incorporated territory of a municipality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334.0083(b)</w:t>
            </w:r>
          </w:p>
        </w:tc>
        <w:tc>
          <w:p>
            <w:r>
              <w:t>Venue Projects in Certain Counties</w:t>
            </w:r>
          </w:p>
        </w:tc>
        <w:tc>
          <w:p>
            <w:r>
              <w:t>40,000 or less in which at least one state park and one national wildlife refuge are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2700d-38</w:t>
            </w:r>
          </w:p>
        </w:tc>
        <w:tc>
          <w:p>
            <w:r>
              <w:t>Education - Public,County Schools,Salaries in counties of 34,600 to 34,700 and counties of 13,800 to 13,900</w:t>
            </w:r>
          </w:p>
        </w:tc>
        <w:tc>
          <w:p>
            <w:r>
              <w:t>Not less than 34,600 and not more than 34,700;Not less than 13,800 and not more than 13,900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