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4444363a5f456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753.103(b)(3)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500,000 but not more than 999,999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292B.002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has more than 400,000; and is adjacent to the county containing the state capital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320.0455(a)(3)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More than 550,000 and less than 620,000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644.101(c)(4)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400,000 or more that borders the county in which the State Capitol is located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