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4e5f32e5e42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