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1c92f82c042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