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94b8fea56463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234.032(2)</w:t>
            </w:r>
          </w:p>
        </w:tc>
        <w:tc>
          <w:p>
            <w:r>
              <w:t>Applicability</w:t>
            </w:r>
          </w:p>
        </w:tc>
        <w:tc>
          <w:p>
            <w:r>
              <w:t>Adjacent to a county described by Subdivision (1)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