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c90c7f710402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263.025</w:t>
            </w:r>
          </w:p>
        </w:tc>
        <w:tc>
          <w:p>
            <w:r>
              <w:t>Hospital Operating Funds Used for Improvements in Counties of 24,500 to 25,500</w:t>
            </w:r>
          </w:p>
        </w:tc>
        <w:tc>
          <w:p>
            <w:r>
              <w:t>24,500 to 25,500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