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0f846520d4e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2700d-31</w:t>
            </w:r>
          </w:p>
        </w:tc>
        <w:tc>
          <w:p>
            <w:r>
              <w:t>Education - Public,County Schools,Travelling and office expenses of Superintendents in counties of 13,400 to 13,500 and 5,180 to 5,190 population</w:t>
            </w:r>
          </w:p>
        </w:tc>
        <w:tc>
          <w:p>
            <w:r>
              <w:t>Not less than 13,400 and not more than 13,500;Not less than 5,180 and not more than 5,190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2700d-39</w:t>
            </w:r>
          </w:p>
        </w:tc>
        <w:tc>
          <w:p>
            <w:r>
              <w:t>Education - Public,County Schools,Salaries in counties of 77,000 to 77,600; 51,770 to 51,800; 12,190 to 12,200; 13,400 to 13,500; 27,500 to 27,600</w:t>
            </w:r>
          </w:p>
        </w:tc>
        <w:tc>
          <w:p>
            <w:r>
              <w:t>77,000 to 77,600; 51,770 to 51,800; 12,190 to 12,200; 13,400 to 13,500; 27,500 to 27,600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