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026b302c74e4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45.014(d)</w:t>
            </w:r>
          </w:p>
        </w:tc>
        <w:tc>
          <w:p>
            <w:r>
              <w:t>Warrant of Arrest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45.019(g)</w:t>
            </w:r>
          </w:p>
        </w:tc>
        <w:tc>
          <w:p>
            <w:r>
              <w:t>Requisites of Complaint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62.011(b)(4)</w:t>
            </w:r>
          </w:p>
        </w:tc>
        <w:tc>
          <w:p>
            <w:r>
              <w:t>Electronic or Mechanical Method of Selection</w:t>
            </w:r>
          </w:p>
        </w:tc>
        <w:tc>
          <w:p>
            <w:r>
              <w:t>At least 1.7 million and in which more than 75% resides in a single municipality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851.0011(a)(2)</w:t>
            </w:r>
          </w:p>
        </w:tc>
        <w:tc>
          <w:p>
            <w:r>
              <w:t>Alternative Definition of Department</w:t>
            </w:r>
          </w:p>
        </w:tc>
        <w:tc>
          <w:p>
            <w:r>
              <w:t>Not less than 2 million and not more than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157.042(a)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562.012(a)</w:t>
            </w:r>
          </w:p>
        </w:tc>
        <w:tc>
          <w:p>
            <w:r>
              <w:t>Contract for Water Supply and Sewer System in Populous County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573.001(4)</w:t>
            </w:r>
          </w:p>
        </w:tc>
        <w:tc>
          <w:p>
            <w:r>
              <w:t>Authority of Certain Counties and Districts to Regulate Stormwater Management</w:t>
            </w:r>
          </w:p>
        </w:tc>
        <w:tc>
          <w:p>
            <w:r>
              <w:t>800,000 or more that contains a portion of the Edwards Aquifer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2035.054(e )(1)</w:t>
            </w:r>
          </w:p>
        </w:tc>
        <w:tc>
          <w:p>
            <w:r>
              <w:t>Bond</w:t>
            </w:r>
          </w:p>
        </w:tc>
        <w:tc>
          <w:p>
            <w:r>
              <w:t>1.3 million or more and in which a municipality with more than 1 million is primarily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502.402(a)(2)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More than 1.5 million that is coterminous with a regional mobility authority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621.4015(a)(1)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1.5 million or more and is within 200 miles of an international border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53.029(a)(1)</w:t>
            </w:r>
          </w:p>
        </w:tc>
        <w:tc>
          <w:p>
            <w:r>
              <w:t>Division of or Assumption of Authority by Certain Districts</w:t>
            </w:r>
          </w:p>
        </w:tc>
        <w:tc>
          <w:p>
            <w:r>
              <w:t>1.3 million or more in which a municipality with more than 1 million is primarily located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