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129f647ed45e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300C.0003(2)</w:t>
            </w:r>
          </w:p>
        </w:tc>
        <w:tc>
          <w:p>
            <w:r>
              <w:t>Applicability</w:t>
            </w:r>
          </w:p>
        </w:tc>
        <w:tc>
          <w:p>
            <w:r>
              <w:t>More than 45,000 and less than 55,000 that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352.002(bb)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40,000 that borders the Red River and includes a wildlife management area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2700d-19</w:t>
            </w:r>
          </w:p>
        </w:tc>
        <w:tc>
          <w:p>
            <w:r>
              <w:t>Education - Public,County Schools,County superintendent--expenses</w:t>
            </w:r>
          </w:p>
        </w:tc>
        <w:tc>
          <w:p>
            <w:r>
              <w:t>Not less than 21,835 and not more than 21,850;Not less than 50,000 and not more than 50,100;Not less than 48,900 and not more than 49,000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2700d-22</w:t>
            </w:r>
          </w:p>
        </w:tc>
        <w:tc>
          <w:p>
            <w:r>
              <w:t>Education - Public,County Schools,Salary and expenses of superintendents in counties of enumerated population</w:t>
            </w:r>
          </w:p>
        </w:tc>
        <w:tc>
          <w:p>
            <w:r>
              <w:t>50,000 to 51,000;38,765 to 38,775;29,210 to 29,630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