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e32f67ed8426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 )(2)(B)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Adjacent to a county described by Paragraph (A) and has a population of less than 9,000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