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daa867c08408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211.001(4)(A)(ii)</w:t>
            </w:r>
          </w:p>
        </w:tc>
        <w:tc>
          <w:p>
            <w:r>
              <w:t>Definitions</w:t>
            </w:r>
          </w:p>
        </w:tc>
        <w:tc>
          <w:p>
            <w:r>
              <w:t>At least 65,000 and less than 135,000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352.002(o)</w:t>
            </w:r>
          </w:p>
        </w:tc>
        <w:tc>
          <w:p>
            <w:r>
              <w:t>Tax Authorized</w:t>
            </w:r>
          </w:p>
        </w:tc>
        <w:tc>
          <w:p>
            <w:r>
              <w:t>65,000 or more and that is bordered by the Neches and Trinity Rivers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2740d</w:t>
            </w:r>
          </w:p>
        </w:tc>
        <w:tc>
          <w:p>
            <w:r>
              <w:t>Education - Public,County Unit System,County Board of Education in certain counties</w:t>
            </w:r>
          </w:p>
        </w:tc>
        <w:tc>
          <w:p>
            <w:r>
              <w:t>Not less than 80,000 and not more than 130,000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