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a60f1b446480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