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c79d79581487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1372.026(a)(3)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100,000 or more but 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531.0991(h)(2)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531.0992(d-1)(2)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531.0993(c)(2)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292C.002</w:t>
            </w:r>
          </w:p>
        </w:tc>
        <w:tc>
          <w:p>
            <w:r>
              <w:t>Applicability</w:t>
            </w:r>
          </w:p>
        </w:tc>
        <w:tc>
          <w:p>
            <w:r>
              <w:t>Contains a hospital district that is not countywide; has more than 125,000; and borders Oklahoma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341.0358(g)(3)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125,000 and less than 230,000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</w:t>
            </w:r>
          </w:p>
        </w:tc>
        <w:tc>
          <w:p>
            <w:r>
              <w:t>Education - Public,County Schools,Superintendent's salary and expenses in counties of 100,000 to 150,000</w:t>
            </w:r>
          </w:p>
        </w:tc>
        <w:tc>
          <w:p>
            <w:r>
              <w:t>Not less than 100,000 nor more than 150,000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623.219(b)</w:t>
            </w:r>
          </w:p>
        </w:tc>
        <w:tc>
          <w:p>
            <w:r>
              <w:t>Route Designation</w:t>
            </w:r>
          </w:p>
        </w:tc>
        <w:tc>
          <w:p>
            <w:r>
              <w:t>Adjacent to at least two counties with 550,000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