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b0a53352c41b4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