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bb5801fa7e4ea4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61.013(a)(4)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10,000 or more but less than 20,000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5.0622</w:t>
            </w:r>
          </w:p>
        </w:tc>
        <w:tc>
          <w:p>
            <w:r>
              <w:t>Additional Applicability: Certain Counties</w:t>
            </w:r>
          </w:p>
        </w:tc>
        <w:tc>
          <w:p>
            <w:r>
              <w:t>Less than 100,000 that is located in a metropolitan statistical area as defined by the federal Office of Management and Budget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352.002(a)(24)</w:t>
            </w:r>
          </w:p>
        </w:tc>
        <w:tc>
          <w:p>
            <w:r>
              <w:t>Tax Authorized</w:t>
            </w:r>
          </w:p>
        </w:tc>
        <w:tc>
          <w:p>
            <w:r>
              <w:t>16,000 or more and borders the entire north shore of Lake Somerville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2740b</w:t>
            </w:r>
          </w:p>
        </w:tc>
        <w:tc>
          <w:p>
            <w:r>
              <w:t>Education - Public,County Unit System,County board of education and superintendent in certain counties, powers and duties</w:t>
            </w:r>
          </w:p>
        </w:tc>
        <w:tc>
          <w:p>
            <w:r>
              <w:t>Not less than 15,000 nor more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