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17c89186849a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