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53d48df144ea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263.025</w:t>
            </w:r>
          </w:p>
        </w:tc>
        <w:tc>
          <w:p>
            <w:r>
              <w:t>Hospital Operating Funds Used for Improvements in Counties of 24,500 to 25,500</w:t>
            </w:r>
          </w:p>
        </w:tc>
        <w:tc>
          <w:p>
            <w:r>
              <w:t>24,500 to 25,500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352.002(a)(15)</w:t>
            </w:r>
          </w:p>
        </w:tc>
        <w:tc>
          <w:p>
            <w:r>
              <w:t>Tax Authorized</w:t>
            </w:r>
          </w:p>
        </w:tc>
        <w:tc>
          <w:p>
            <w:r>
              <w:t>28,000 or less, that has not more than four municipalities, and that is located wholly in the Edwards Aquifer Authority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2702-A</w:t>
            </w:r>
          </w:p>
        </w:tc>
        <w:tc>
          <w:p>
            <w:r>
              <w:t>Education - Public,County Unit System,County-wide equalization districts in counties of 24,000 to 25,000 having valuation of $27,500,000</w:t>
            </w:r>
          </w:p>
        </w:tc>
        <w:tc>
          <w:p>
            <w:r>
              <w:t>Not more than 25,000, nor less than 24,000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