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15edb4d7ac497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2308.209(b)(3)</w:t>
            </w:r>
          </w:p>
        </w:tc>
        <w:tc>
          <w:p>
            <w:r>
              <w:t>Tow Rotation List in Certain Counties</w:t>
            </w:r>
          </w:p>
        </w:tc>
        <w:tc>
          <w:p>
            <w:r>
              <w:t>Unincorporated area of a county adjacent to a county described by (2) that has less than 75,000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2700d-17</w:t>
            </w:r>
          </w:p>
        </w:tc>
        <w:tc>
          <w:p>
            <w:r>
              <w:t>Education - Public,County Schools,Salary and expenses of superintendents in counties of enumerated population </w:t>
            </w:r>
          </w:p>
        </w:tc>
        <w:tc>
          <w:p>
            <w:r>
              <w:t>Not less than 32,800 and not more than 32,830;Not less than 24,000 and not more than 24,063;Not less than 37,900 and not more than 37,950;etc.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2702-A</w:t>
            </w:r>
          </w:p>
        </w:tc>
        <w:tc>
          <w:p>
            <w:r>
              <w:t>Education - Public,County Unit System,County-wide equalization districts in counties of 24,000 to 25,000 having valuation of $27,500,000</w:t>
            </w:r>
          </w:p>
        </w:tc>
        <w:tc>
          <w:p>
            <w:r>
              <w:t>Not more than 25,000, nor less than 24,000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