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c562e3b143d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