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4beeecff04e1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381.001(c)</w:t>
            </w:r>
          </w:p>
        </w:tc>
        <w:tc>
          <w:p>
            <w:r>
              <w:t>County Industrial Commission</w:t>
            </w:r>
          </w:p>
        </w:tc>
        <w:tc>
          <w:p>
            <w:r>
              <w:t>14,600 to 14,800, or 16,615 to 16,715, or 17,800 to 18,000, or 24,600 to 24,800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2700d-27</w:t>
            </w:r>
          </w:p>
        </w:tc>
        <w:tc>
          <w:p>
            <w:r>
              <w:t>Education - Public,County Schools,Superintendent's salary in counties having population of 22,100 to 22,500; 41,050 to 42,100; 22,600 to 22,800; 14,550 to 14,800; 11,021 to 11,050; reports</w:t>
            </w:r>
          </w:p>
        </w:tc>
        <w:tc>
          <w:p>
            <w:r>
              <w:t>22,100 to 22,500; 41,050 to 42,100; 22,600 to 22,800; 14,550 to 14,800; 11,021 to 11,050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