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da8e57d06e4597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263.025</w:t>
            </w:r>
          </w:p>
        </w:tc>
        <w:tc>
          <w:p>
            <w:r>
              <w:t>Hospital Operating Funds Used for Improvements in Counties of 24,500 to 25,500</w:t>
            </w:r>
          </w:p>
        </w:tc>
        <w:tc>
          <w:p>
            <w:r>
              <w:t>24,500 to 25,500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381.001(c)</w:t>
            </w:r>
          </w:p>
        </w:tc>
        <w:tc>
          <w:p>
            <w:r>
              <w:t>County Industrial Commission</w:t>
            </w:r>
          </w:p>
        </w:tc>
        <w:tc>
          <w:p>
            <w:r>
              <w:t>14,600 to 14,800, or 16,615 to 16,715, or 17,800 to 18,000, or 24,600 to 24,800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2702-A</w:t>
            </w:r>
          </w:p>
        </w:tc>
        <w:tc>
          <w:p>
            <w:r>
              <w:t>Education - Public,County Unit System,County-wide equalization districts in counties of 24,000 to 25,000 having valuation of $27,500,000</w:t>
            </w:r>
          </w:p>
        </w:tc>
        <w:tc>
          <w:p>
            <w:r>
              <w:t>Not more than 25,000, nor less than 24,000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