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cdac686ba407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130.907</w:t>
            </w:r>
          </w:p>
        </w:tc>
        <w:tc>
          <w:p>
            <w:r>
              <w:t>Aid to State and Federal Agencies in County With Population of 22,050 to 23,000</w:t>
            </w:r>
          </w:p>
        </w:tc>
        <w:tc>
          <w:p>
            <w:r>
              <w:t>22,050 to 23,000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352.002(k)</w:t>
            </w:r>
          </w:p>
        </w:tc>
        <w:tc>
          <w:p>
            <w:r>
              <w:t>Tax Authorized</w:t>
            </w:r>
          </w:p>
        </w:tc>
        <w:tc>
          <w:p>
            <w:r>
              <w:t>More than 20,000 that is bordered by the Neches and Trinity Rivers and that contains portions of the Davy Crockett National Forest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352.002(z)</w:t>
            </w:r>
          </w:p>
        </w:tc>
        <w:tc>
          <w:p>
            <w:r>
              <w:t>Tax Authorized</w:t>
            </w:r>
          </w:p>
        </w:tc>
        <w:tc>
          <w:p>
            <w:r>
              <w:t>Not more than 50,000 and in which an annual peanut festival is held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